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8"/>
        <w:tblW w:w="0" w:type="auto"/>
        <w:tblLook w:val="01E0" w:firstRow="1" w:lastRow="1" w:firstColumn="1" w:lastColumn="1" w:noHBand="0" w:noVBand="0"/>
      </w:tblPr>
      <w:tblGrid>
        <w:gridCol w:w="5160"/>
      </w:tblGrid>
      <w:tr w:rsidR="003E26B3" w:rsidRPr="0080516B" w:rsidTr="006B4DF9">
        <w:trPr>
          <w:trHeight w:val="3382"/>
        </w:trPr>
        <w:tc>
          <w:tcPr>
            <w:tcW w:w="5160" w:type="dxa"/>
          </w:tcPr>
          <w:p w:rsidR="003E26B3" w:rsidRDefault="003E26B3" w:rsidP="006B4DF9">
            <w:pPr>
              <w:pStyle w:val="NormalWeb"/>
              <w:spacing w:before="0" w:beforeAutospacing="0" w:after="0" w:afterAutospacing="0"/>
              <w:jc w:val="center"/>
              <w:rPr>
                <w:rFonts w:ascii="Arial" w:eastAsiaTheme="minorHAnsi" w:hAnsi="Arial" w:cs="Arial"/>
                <w:b/>
                <w:bCs/>
                <w:spacing w:val="-3"/>
                <w:lang w:eastAsia="en-US"/>
              </w:rPr>
            </w:pPr>
            <w:bookmarkStart w:id="0" w:name="_GoBack"/>
            <w:bookmarkEnd w:id="0"/>
            <w:r>
              <w:rPr>
                <w:rFonts w:ascii="Arial" w:eastAsiaTheme="minorHAnsi" w:hAnsi="Arial" w:cs="Arial"/>
                <w:b/>
                <w:bCs/>
                <w:spacing w:val="-3"/>
                <w:lang w:eastAsia="en-US"/>
              </w:rPr>
              <w:t>AUTO DE ADMISIÓN</w:t>
            </w:r>
          </w:p>
          <w:p w:rsidR="003E26B3" w:rsidRDefault="003E26B3" w:rsidP="006B4DF9">
            <w:pPr>
              <w:pStyle w:val="NormalWeb"/>
              <w:spacing w:before="0" w:beforeAutospacing="0" w:after="0" w:afterAutospacing="0"/>
              <w:jc w:val="center"/>
              <w:rPr>
                <w:rFonts w:ascii="Arial" w:eastAsiaTheme="minorHAnsi" w:hAnsi="Arial" w:cs="Arial"/>
                <w:b/>
                <w:bCs/>
                <w:spacing w:val="-3"/>
                <w:lang w:eastAsia="en-US"/>
              </w:rPr>
            </w:pPr>
          </w:p>
          <w:p w:rsidR="003E26B3" w:rsidRPr="0080516B" w:rsidRDefault="003E26B3" w:rsidP="006B4DF9">
            <w:pPr>
              <w:pStyle w:val="NormalWeb"/>
              <w:spacing w:before="0" w:beforeAutospacing="0" w:after="240" w:afterAutospacing="0"/>
              <w:jc w:val="both"/>
              <w:rPr>
                <w:rFonts w:ascii="Arial" w:eastAsiaTheme="minorHAnsi" w:hAnsi="Arial" w:cs="Arial"/>
                <w:b/>
                <w:bCs/>
                <w:spacing w:val="-3"/>
                <w:lang w:eastAsia="en-US"/>
              </w:rPr>
            </w:pPr>
            <w:r w:rsidRPr="0080516B">
              <w:rPr>
                <w:rFonts w:ascii="Arial" w:eastAsiaTheme="minorHAnsi" w:hAnsi="Arial" w:cs="Arial"/>
                <w:b/>
                <w:bCs/>
                <w:spacing w:val="-3"/>
                <w:lang w:eastAsia="en-US"/>
              </w:rPr>
              <w:t xml:space="preserve">JUICIO DE REVISIÓN CONSTITUCIONAL ELECTORAL </w:t>
            </w:r>
          </w:p>
          <w:p w:rsidR="003E26B3" w:rsidRPr="0080516B" w:rsidRDefault="003E26B3" w:rsidP="006B4DF9">
            <w:pPr>
              <w:pStyle w:val="NormalWeb"/>
              <w:spacing w:before="240" w:beforeAutospacing="0" w:after="240" w:afterAutospacing="0"/>
              <w:jc w:val="both"/>
              <w:rPr>
                <w:rFonts w:ascii="Arial" w:hAnsi="Arial" w:cs="Arial"/>
                <w:bCs/>
              </w:rPr>
            </w:pPr>
            <w:r w:rsidRPr="0080516B">
              <w:rPr>
                <w:rFonts w:ascii="Arial" w:hAnsi="Arial" w:cs="Arial"/>
                <w:b/>
                <w:bCs/>
              </w:rPr>
              <w:t>EXPEDIENTE:</w:t>
            </w:r>
            <w:r w:rsidRPr="0080516B">
              <w:rPr>
                <w:rFonts w:ascii="Arial" w:hAnsi="Arial" w:cs="Arial"/>
                <w:bCs/>
              </w:rPr>
              <w:t xml:space="preserve"> SM-JRC-</w:t>
            </w:r>
            <w:r>
              <w:rPr>
                <w:rFonts w:ascii="Arial" w:hAnsi="Arial" w:cs="Arial"/>
                <w:bCs/>
              </w:rPr>
              <w:t>9</w:t>
            </w:r>
            <w:r w:rsidRPr="0080516B">
              <w:rPr>
                <w:rFonts w:ascii="Arial" w:hAnsi="Arial" w:cs="Arial"/>
                <w:bCs/>
              </w:rPr>
              <w:t>/201</w:t>
            </w:r>
            <w:r>
              <w:rPr>
                <w:rFonts w:ascii="Arial" w:hAnsi="Arial" w:cs="Arial"/>
                <w:bCs/>
              </w:rPr>
              <w:t>7</w:t>
            </w:r>
          </w:p>
          <w:p w:rsidR="003E26B3" w:rsidRPr="0080516B" w:rsidRDefault="003E26B3" w:rsidP="006B4DF9">
            <w:pPr>
              <w:spacing w:before="240" w:after="240" w:line="240" w:lineRule="auto"/>
              <w:jc w:val="both"/>
              <w:rPr>
                <w:rFonts w:ascii="Arial" w:eastAsia="Times New Roman" w:hAnsi="Arial" w:cs="Arial"/>
                <w:sz w:val="24"/>
                <w:szCs w:val="24"/>
                <w:lang w:val="es-ES" w:eastAsia="es-ES"/>
              </w:rPr>
            </w:pPr>
            <w:r w:rsidRPr="0080516B">
              <w:rPr>
                <w:rFonts w:ascii="Arial" w:eastAsia="Times New Roman" w:hAnsi="Arial" w:cs="Arial"/>
                <w:b/>
                <w:sz w:val="24"/>
                <w:szCs w:val="24"/>
                <w:lang w:val="es-ES" w:eastAsia="es-ES"/>
              </w:rPr>
              <w:t xml:space="preserve">ACTOR: </w:t>
            </w:r>
            <w:r>
              <w:rPr>
                <w:rFonts w:ascii="Arial" w:eastAsia="Times New Roman" w:hAnsi="Arial" w:cs="Arial"/>
                <w:sz w:val="24"/>
                <w:szCs w:val="24"/>
                <w:lang w:val="es-ES" w:eastAsia="es-ES"/>
              </w:rPr>
              <w:t>PARTIDO ACCIÓN NACIONAL</w:t>
            </w:r>
          </w:p>
          <w:p w:rsidR="003E26B3" w:rsidRPr="00403C97" w:rsidRDefault="003E26B3" w:rsidP="006B4DF9">
            <w:pPr>
              <w:spacing w:before="240" w:after="240" w:line="240" w:lineRule="auto"/>
              <w:jc w:val="both"/>
              <w:rPr>
                <w:rFonts w:ascii="Arial" w:eastAsia="Times New Roman" w:hAnsi="Arial" w:cs="Arial"/>
                <w:sz w:val="24"/>
                <w:szCs w:val="24"/>
                <w:lang w:val="es-ES" w:eastAsia="es-ES"/>
              </w:rPr>
            </w:pPr>
            <w:r w:rsidRPr="0080516B">
              <w:rPr>
                <w:rFonts w:ascii="Arial" w:eastAsia="Times New Roman" w:hAnsi="Arial" w:cs="Arial"/>
                <w:b/>
                <w:sz w:val="24"/>
                <w:szCs w:val="24"/>
                <w:lang w:val="es-ES" w:eastAsia="es-ES"/>
              </w:rPr>
              <w:t xml:space="preserve">RESPONSABLE: </w:t>
            </w:r>
            <w:r w:rsidRPr="0080516B">
              <w:t xml:space="preserve"> </w:t>
            </w:r>
            <w:r>
              <w:rPr>
                <w:rFonts w:ascii="Arial" w:eastAsia="Times New Roman" w:hAnsi="Arial" w:cs="Arial"/>
                <w:sz w:val="24"/>
                <w:szCs w:val="24"/>
                <w:lang w:val="es-ES" w:eastAsia="es-ES"/>
              </w:rPr>
              <w:t>TRIBUNAL ELECTORAL DEL ESTADO DE COAHUILA DE ZARAGOZA</w:t>
            </w:r>
          </w:p>
        </w:tc>
      </w:tr>
    </w:tbl>
    <w:p w:rsidR="003E26B3" w:rsidRPr="003E26B3" w:rsidRDefault="003E26B3" w:rsidP="003E26B3">
      <w:pPr>
        <w:spacing w:before="100" w:beforeAutospacing="1" w:after="100" w:afterAutospacing="1" w:line="336" w:lineRule="auto"/>
        <w:jc w:val="both"/>
        <w:rPr>
          <w:rFonts w:ascii="Arial" w:eastAsia="Times New Roman" w:hAnsi="Arial" w:cs="Arial"/>
          <w:sz w:val="24"/>
          <w:szCs w:val="24"/>
          <w:lang w:eastAsia="es-ES"/>
        </w:rPr>
      </w:pPr>
    </w:p>
    <w:p w:rsidR="003E26B3" w:rsidRDefault="003E26B3" w:rsidP="003E26B3">
      <w:pPr>
        <w:spacing w:before="100" w:beforeAutospacing="1" w:after="100" w:afterAutospacing="1" w:line="336" w:lineRule="auto"/>
        <w:jc w:val="both"/>
        <w:rPr>
          <w:rFonts w:ascii="Arial" w:eastAsia="Times New Roman" w:hAnsi="Arial" w:cs="Arial"/>
          <w:sz w:val="24"/>
          <w:szCs w:val="24"/>
          <w:lang w:val="es-ES_tradnl" w:eastAsia="es-ES"/>
        </w:rPr>
      </w:pPr>
    </w:p>
    <w:p w:rsidR="003E26B3" w:rsidRDefault="003E26B3" w:rsidP="003E26B3">
      <w:pPr>
        <w:spacing w:before="100" w:beforeAutospacing="1" w:after="100" w:afterAutospacing="1" w:line="336" w:lineRule="auto"/>
        <w:jc w:val="both"/>
        <w:rPr>
          <w:rFonts w:ascii="Arial" w:eastAsia="Times New Roman" w:hAnsi="Arial" w:cs="Arial"/>
          <w:sz w:val="24"/>
          <w:szCs w:val="24"/>
          <w:lang w:val="es-ES_tradnl" w:eastAsia="es-ES"/>
        </w:rPr>
      </w:pPr>
    </w:p>
    <w:p w:rsidR="003E26B3" w:rsidRDefault="003E26B3" w:rsidP="003E26B3">
      <w:pPr>
        <w:spacing w:before="100" w:beforeAutospacing="1" w:after="100" w:afterAutospacing="1" w:line="336" w:lineRule="auto"/>
        <w:jc w:val="both"/>
        <w:rPr>
          <w:rFonts w:ascii="Arial" w:eastAsia="Times New Roman" w:hAnsi="Arial" w:cs="Arial"/>
          <w:sz w:val="24"/>
          <w:szCs w:val="24"/>
          <w:lang w:val="es-ES_tradnl" w:eastAsia="es-ES"/>
        </w:rPr>
      </w:pPr>
    </w:p>
    <w:p w:rsidR="003E26B3" w:rsidRDefault="003E26B3" w:rsidP="003E26B3">
      <w:pPr>
        <w:spacing w:before="100" w:beforeAutospacing="1" w:after="100" w:afterAutospacing="1" w:line="336" w:lineRule="auto"/>
        <w:jc w:val="both"/>
        <w:rPr>
          <w:rFonts w:ascii="Arial" w:eastAsia="Times New Roman" w:hAnsi="Arial" w:cs="Arial"/>
          <w:sz w:val="24"/>
          <w:szCs w:val="24"/>
          <w:lang w:val="es-ES_tradnl" w:eastAsia="es-ES"/>
        </w:rPr>
      </w:pPr>
    </w:p>
    <w:p w:rsidR="003E26B3" w:rsidRPr="003E26B3" w:rsidRDefault="003E26B3" w:rsidP="003E26B3">
      <w:pPr>
        <w:spacing w:after="0" w:line="240" w:lineRule="auto"/>
        <w:jc w:val="both"/>
        <w:rPr>
          <w:rFonts w:ascii="Arial" w:eastAsia="Times New Roman" w:hAnsi="Arial" w:cs="Arial"/>
          <w:sz w:val="16"/>
          <w:szCs w:val="16"/>
          <w:lang w:val="es-ES_tradnl" w:eastAsia="es-ES"/>
        </w:rPr>
      </w:pPr>
    </w:p>
    <w:p w:rsidR="003E26B3" w:rsidRPr="00C83575" w:rsidRDefault="003E26B3" w:rsidP="003E26B3">
      <w:pPr>
        <w:spacing w:before="100" w:beforeAutospacing="1" w:after="100" w:afterAutospacing="1" w:line="336" w:lineRule="auto"/>
        <w:jc w:val="both"/>
        <w:rPr>
          <w:rFonts w:ascii="Arial" w:eastAsia="Times New Roman" w:hAnsi="Arial" w:cs="Arial"/>
          <w:sz w:val="24"/>
          <w:szCs w:val="24"/>
          <w:lang w:val="es-ES_tradnl" w:eastAsia="es-ES"/>
        </w:rPr>
      </w:pPr>
      <w:r w:rsidRPr="00C83575">
        <w:rPr>
          <w:rFonts w:ascii="Arial" w:eastAsia="Times New Roman" w:hAnsi="Arial" w:cs="Arial"/>
          <w:sz w:val="24"/>
          <w:szCs w:val="24"/>
          <w:lang w:val="es-ES_tradnl" w:eastAsia="es-ES"/>
        </w:rPr>
        <w:t xml:space="preserve">Monterrey, Nuevo León, a </w:t>
      </w:r>
      <w:r>
        <w:rPr>
          <w:rFonts w:ascii="Arial" w:eastAsia="Times New Roman" w:hAnsi="Arial" w:cs="Arial"/>
          <w:sz w:val="24"/>
          <w:szCs w:val="24"/>
          <w:lang w:val="es-ES_tradnl" w:eastAsia="es-ES"/>
        </w:rPr>
        <w:t>dieciocho</w:t>
      </w:r>
      <w:r w:rsidRPr="00C83575">
        <w:rPr>
          <w:rFonts w:ascii="Arial" w:eastAsia="Times New Roman" w:hAnsi="Arial" w:cs="Arial"/>
          <w:sz w:val="24"/>
          <w:szCs w:val="24"/>
          <w:lang w:val="es-ES_tradnl" w:eastAsia="es-ES"/>
        </w:rPr>
        <w:t xml:space="preserve"> de mayo de dos mil diecisiete.</w:t>
      </w:r>
    </w:p>
    <w:p w:rsidR="003E26B3" w:rsidRDefault="00C4398D" w:rsidP="003E26B3">
      <w:pPr>
        <w:spacing w:before="100" w:beforeAutospacing="1" w:after="100" w:afterAutospacing="1" w:line="336" w:lineRule="auto"/>
        <w:jc w:val="both"/>
        <w:rPr>
          <w:rFonts w:ascii="Arial" w:hAnsi="Arial" w:cs="Arial"/>
          <w:sz w:val="24"/>
          <w:szCs w:val="24"/>
        </w:rPr>
      </w:pPr>
      <w:r>
        <w:rPr>
          <w:rFonts w:ascii="Arial" w:hAnsi="Arial" w:cs="Arial"/>
          <w:sz w:val="24"/>
          <w:szCs w:val="24"/>
          <w:lang w:val="es-ES_tradnl"/>
        </w:rPr>
        <w:t>La</w:t>
      </w:r>
      <w:r w:rsidR="003E26B3" w:rsidRPr="00C83575">
        <w:rPr>
          <w:rFonts w:ascii="Arial" w:hAnsi="Arial" w:cs="Arial"/>
          <w:sz w:val="24"/>
          <w:szCs w:val="24"/>
          <w:lang w:val="es-ES"/>
        </w:rPr>
        <w:t xml:space="preserve"> Secretari</w:t>
      </w:r>
      <w:r>
        <w:rPr>
          <w:rFonts w:ascii="Arial" w:hAnsi="Arial" w:cs="Arial"/>
          <w:sz w:val="24"/>
          <w:szCs w:val="24"/>
          <w:lang w:val="es-ES"/>
        </w:rPr>
        <w:t>a</w:t>
      </w:r>
      <w:r w:rsidR="003E26B3" w:rsidRPr="00C83575">
        <w:rPr>
          <w:rFonts w:ascii="Arial" w:hAnsi="Arial" w:cs="Arial"/>
          <w:sz w:val="24"/>
          <w:szCs w:val="24"/>
          <w:lang w:val="es-ES"/>
        </w:rPr>
        <w:t xml:space="preserve"> da cuenta al Magistrado Instructor con </w:t>
      </w:r>
      <w:r w:rsidR="003E26B3">
        <w:rPr>
          <w:rFonts w:ascii="Arial" w:hAnsi="Arial" w:cs="Arial"/>
          <w:sz w:val="24"/>
          <w:szCs w:val="24"/>
          <w:lang w:val="es-ES"/>
        </w:rPr>
        <w:t xml:space="preserve">el oficio </w:t>
      </w:r>
      <w:r w:rsidR="003E26B3" w:rsidRPr="00C83575">
        <w:rPr>
          <w:rFonts w:ascii="Arial" w:hAnsi="Arial" w:cs="Arial"/>
          <w:sz w:val="24"/>
          <w:szCs w:val="24"/>
        </w:rPr>
        <w:t>TEPJF-SGA-SM-681/2017 de quince de mayo, suscrito por la Secretaria General de Acuerdos</w:t>
      </w:r>
      <w:r w:rsidR="003E26B3">
        <w:rPr>
          <w:rFonts w:ascii="Arial" w:hAnsi="Arial" w:cs="Arial"/>
          <w:sz w:val="24"/>
          <w:szCs w:val="24"/>
        </w:rPr>
        <w:t xml:space="preserve"> de esta Sala Regional</w:t>
      </w:r>
      <w:r w:rsidR="003E26B3" w:rsidRPr="00C83575">
        <w:rPr>
          <w:rFonts w:ascii="Arial" w:hAnsi="Arial" w:cs="Arial"/>
          <w:sz w:val="24"/>
          <w:szCs w:val="24"/>
        </w:rPr>
        <w:t>, mediante el cual remite el expediente al rubro indicado y tres cuadernos accesorios.</w:t>
      </w:r>
    </w:p>
    <w:p w:rsidR="003E26B3" w:rsidRPr="00C83575" w:rsidRDefault="003E26B3" w:rsidP="003E26B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sz w:val="24"/>
          <w:szCs w:val="24"/>
          <w:lang w:val="es-ES_tradnl" w:eastAsia="es-ES"/>
        </w:rPr>
        <w:t xml:space="preserve">Por lo anterior, con fundamento en lo dispuesto por </w:t>
      </w:r>
      <w:r>
        <w:rPr>
          <w:rFonts w:ascii="Arial" w:eastAsia="Times New Roman" w:hAnsi="Arial" w:cs="Arial"/>
          <w:sz w:val="24"/>
          <w:szCs w:val="24"/>
          <w:lang w:val="es-ES_tradnl" w:eastAsia="es-ES"/>
        </w:rPr>
        <w:t>e</w:t>
      </w:r>
      <w:r w:rsidRPr="00C83575">
        <w:rPr>
          <w:rFonts w:ascii="Arial" w:eastAsia="Times New Roman" w:hAnsi="Arial" w:cs="Arial"/>
          <w:sz w:val="24"/>
          <w:szCs w:val="24"/>
          <w:lang w:val="es-ES_tradnl" w:eastAsia="es-ES"/>
        </w:rPr>
        <w:t>l artículo 199, fracci</w:t>
      </w:r>
      <w:r>
        <w:rPr>
          <w:rFonts w:ascii="Arial" w:eastAsia="Times New Roman" w:hAnsi="Arial" w:cs="Arial"/>
          <w:sz w:val="24"/>
          <w:szCs w:val="24"/>
          <w:lang w:val="es-ES_tradnl" w:eastAsia="es-ES"/>
        </w:rPr>
        <w:t>ones</w:t>
      </w:r>
      <w:r w:rsidRPr="00C83575">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 xml:space="preserve">VII y </w:t>
      </w:r>
      <w:r w:rsidRPr="00C83575">
        <w:rPr>
          <w:rFonts w:ascii="Arial" w:eastAsia="Times New Roman" w:hAnsi="Arial" w:cs="Arial"/>
          <w:sz w:val="24"/>
          <w:szCs w:val="24"/>
          <w:lang w:val="es-ES_tradnl" w:eastAsia="es-ES"/>
        </w:rPr>
        <w:t>XV, de la Ley Orgánica del Poder Judicial de la Federación; 6, párrafo 1 y 19, párrafo 1, inciso</w:t>
      </w:r>
      <w:r>
        <w:rPr>
          <w:rFonts w:ascii="Arial" w:eastAsia="Times New Roman" w:hAnsi="Arial" w:cs="Arial"/>
          <w:sz w:val="24"/>
          <w:szCs w:val="24"/>
          <w:lang w:val="es-ES_tradnl" w:eastAsia="es-ES"/>
        </w:rPr>
        <w:t>s</w:t>
      </w:r>
      <w:r w:rsidRPr="00C83575">
        <w:rPr>
          <w:rFonts w:ascii="Arial" w:eastAsia="Times New Roman" w:hAnsi="Arial" w:cs="Arial"/>
          <w:sz w:val="24"/>
          <w:szCs w:val="24"/>
          <w:lang w:val="es-ES_tradnl" w:eastAsia="es-ES"/>
        </w:rPr>
        <w:t xml:space="preserve"> a)</w:t>
      </w:r>
      <w:r>
        <w:rPr>
          <w:rFonts w:ascii="Arial" w:eastAsia="Times New Roman" w:hAnsi="Arial" w:cs="Arial"/>
          <w:sz w:val="24"/>
          <w:szCs w:val="24"/>
          <w:lang w:val="es-ES_tradnl" w:eastAsia="es-ES"/>
        </w:rPr>
        <w:t xml:space="preserve"> y e)</w:t>
      </w:r>
      <w:r w:rsidRPr="00C83575">
        <w:rPr>
          <w:rFonts w:ascii="Arial" w:eastAsia="Times New Roman" w:hAnsi="Arial" w:cs="Arial"/>
          <w:sz w:val="24"/>
          <w:szCs w:val="24"/>
          <w:lang w:val="es-ES_tradnl" w:eastAsia="es-ES"/>
        </w:rPr>
        <w:t>, de la Ley General del Sistema de Medios de Impugnación en Materia Electoral; 40, párrafo 2, 52, fracción I, 56 en relación con el 44, fracciones I, II</w:t>
      </w:r>
      <w:r>
        <w:rPr>
          <w:rFonts w:ascii="Arial" w:eastAsia="Times New Roman" w:hAnsi="Arial" w:cs="Arial"/>
          <w:sz w:val="24"/>
          <w:szCs w:val="24"/>
          <w:lang w:val="es-ES_tradnl" w:eastAsia="es-ES"/>
        </w:rPr>
        <w:t>, III</w:t>
      </w:r>
      <w:r w:rsidRPr="00C83575">
        <w:rPr>
          <w:rFonts w:ascii="Arial" w:eastAsia="Times New Roman" w:hAnsi="Arial" w:cs="Arial"/>
          <w:sz w:val="24"/>
          <w:szCs w:val="24"/>
          <w:lang w:val="es-ES_tradnl" w:eastAsia="es-ES"/>
        </w:rPr>
        <w:t xml:space="preserve"> y IX, del Reglamento Interno del Tribunal Electoral del Poder Judicial de la Federación, </w:t>
      </w:r>
      <w:r w:rsidRPr="00C83575">
        <w:rPr>
          <w:rFonts w:ascii="Arial" w:eastAsia="Times New Roman" w:hAnsi="Arial" w:cs="Arial"/>
          <w:b/>
          <w:sz w:val="24"/>
          <w:szCs w:val="24"/>
          <w:lang w:val="es-ES_tradnl" w:eastAsia="es-ES"/>
        </w:rPr>
        <w:t>SE ACUERDA:</w:t>
      </w:r>
    </w:p>
    <w:p w:rsidR="003E26B3" w:rsidRDefault="003E26B3" w:rsidP="003E26B3">
      <w:pPr>
        <w:spacing w:before="100" w:beforeAutospacing="1" w:after="100" w:afterAutospacing="1" w:line="336" w:lineRule="auto"/>
        <w:jc w:val="both"/>
        <w:rPr>
          <w:rFonts w:ascii="Arial" w:hAnsi="Arial" w:cs="Arial"/>
          <w:sz w:val="24"/>
          <w:szCs w:val="24"/>
        </w:rPr>
      </w:pPr>
      <w:r>
        <w:rPr>
          <w:rFonts w:ascii="Arial" w:hAnsi="Arial" w:cs="Arial"/>
          <w:b/>
          <w:sz w:val="24"/>
          <w:szCs w:val="24"/>
        </w:rPr>
        <w:t xml:space="preserve">I. </w:t>
      </w:r>
      <w:r w:rsidRPr="00C83575">
        <w:rPr>
          <w:rFonts w:ascii="Arial" w:hAnsi="Arial" w:cs="Arial"/>
          <w:b/>
          <w:sz w:val="24"/>
          <w:szCs w:val="24"/>
        </w:rPr>
        <w:t xml:space="preserve">Domicilio para oír y recibir notificaciones de la parte actora. </w:t>
      </w:r>
      <w:r w:rsidRPr="00C83575">
        <w:rPr>
          <w:rFonts w:ascii="Arial" w:hAnsi="Arial" w:cs="Arial"/>
          <w:sz w:val="24"/>
          <w:szCs w:val="24"/>
        </w:rPr>
        <w:t>Se le  tiene señalando como tal el indicado en su escrito de demanda y autorizando para tales efectos a las personas que ahí precisa.</w:t>
      </w:r>
    </w:p>
    <w:p w:rsidR="003E26B3" w:rsidRDefault="003E26B3" w:rsidP="003E26B3">
      <w:pPr>
        <w:spacing w:before="100" w:beforeAutospacing="1" w:after="100" w:afterAutospacing="1" w:line="336" w:lineRule="auto"/>
        <w:jc w:val="both"/>
        <w:rPr>
          <w:rFonts w:ascii="Arial" w:hAnsi="Arial" w:cs="Arial"/>
          <w:sz w:val="24"/>
          <w:szCs w:val="24"/>
        </w:rPr>
      </w:pPr>
      <w:r>
        <w:rPr>
          <w:rFonts w:ascii="Arial" w:hAnsi="Arial" w:cs="Arial"/>
          <w:b/>
          <w:sz w:val="24"/>
          <w:szCs w:val="24"/>
        </w:rPr>
        <w:t>II</w:t>
      </w:r>
      <w:r w:rsidRPr="00120930">
        <w:rPr>
          <w:rFonts w:ascii="Arial" w:hAnsi="Arial" w:cs="Arial"/>
          <w:b/>
          <w:sz w:val="24"/>
          <w:szCs w:val="24"/>
        </w:rPr>
        <w:t>. Admisión.</w:t>
      </w:r>
      <w:r>
        <w:rPr>
          <w:rFonts w:ascii="Arial" w:hAnsi="Arial" w:cs="Arial"/>
          <w:sz w:val="24"/>
          <w:szCs w:val="24"/>
        </w:rPr>
        <w:t xml:space="preserve"> Se admite el presente juicio, ya que reúne los requisitos generales y especiales previstos en los artículos 8, 9, párrafo 1, 86 y 88 de la legislación adjetiva de la materia, toda vez que de las constancias que integran el expediente en que se actúa no se advierte, de manera indudable y manifiesta, alguna causal de improcedencia.</w:t>
      </w:r>
    </w:p>
    <w:p w:rsidR="003E26B3" w:rsidRDefault="003E26B3" w:rsidP="003E26B3">
      <w:pPr>
        <w:spacing w:before="100" w:beforeAutospacing="1" w:after="100" w:afterAutospacing="1" w:line="336" w:lineRule="auto"/>
        <w:jc w:val="both"/>
        <w:rPr>
          <w:rFonts w:ascii="Arial" w:hAnsi="Arial" w:cs="Arial"/>
          <w:sz w:val="24"/>
          <w:szCs w:val="24"/>
        </w:rPr>
      </w:pPr>
      <w:r w:rsidRPr="00BF2FD9">
        <w:rPr>
          <w:rFonts w:ascii="Arial" w:hAnsi="Arial" w:cs="Arial"/>
          <w:b/>
          <w:sz w:val="24"/>
          <w:szCs w:val="24"/>
        </w:rPr>
        <w:lastRenderedPageBreak/>
        <w:t>a) Oportunidad.</w:t>
      </w:r>
      <w:r>
        <w:rPr>
          <w:rFonts w:ascii="Arial" w:hAnsi="Arial" w:cs="Arial"/>
          <w:sz w:val="24"/>
          <w:szCs w:val="24"/>
        </w:rPr>
        <w:t xml:space="preserve"> El juicio fue promovido oportunamente, en virtud de que </w:t>
      </w:r>
      <w:r w:rsidRPr="003D4B45">
        <w:rPr>
          <w:rFonts w:ascii="Arial" w:hAnsi="Arial" w:cs="Arial"/>
          <w:sz w:val="24"/>
          <w:szCs w:val="24"/>
        </w:rPr>
        <w:t>la resolución impugnada fue emitida el diez de mayo y notificada al partido actor el mismo día</w:t>
      </w:r>
      <w:r w:rsidRPr="003D4B45">
        <w:rPr>
          <w:rStyle w:val="Refdenotaalpie"/>
          <w:rFonts w:ascii="Arial" w:hAnsi="Arial"/>
          <w:sz w:val="24"/>
          <w:szCs w:val="24"/>
        </w:rPr>
        <w:footnoteReference w:id="1"/>
      </w:r>
      <w:r w:rsidRPr="003D4B45">
        <w:rPr>
          <w:rFonts w:ascii="Arial" w:hAnsi="Arial" w:cs="Arial"/>
          <w:sz w:val="24"/>
          <w:szCs w:val="24"/>
        </w:rPr>
        <w:t>, mientras que la demanda se presentó el catorce</w:t>
      </w:r>
      <w:r>
        <w:rPr>
          <w:rFonts w:ascii="Arial" w:hAnsi="Arial" w:cs="Arial"/>
          <w:sz w:val="24"/>
          <w:szCs w:val="24"/>
        </w:rPr>
        <w:t xml:space="preserve"> posterior; esto es, dentro del plazo legal de cuatro días.</w:t>
      </w:r>
    </w:p>
    <w:p w:rsidR="003E26B3" w:rsidRPr="005D61CE" w:rsidRDefault="003E26B3" w:rsidP="003E26B3">
      <w:pPr>
        <w:spacing w:before="100" w:beforeAutospacing="1" w:after="100" w:afterAutospacing="1" w:line="336" w:lineRule="auto"/>
        <w:jc w:val="both"/>
        <w:rPr>
          <w:rFonts w:ascii="Arial" w:hAnsi="Arial" w:cs="Arial"/>
          <w:sz w:val="24"/>
          <w:szCs w:val="24"/>
        </w:rPr>
      </w:pPr>
      <w:r w:rsidRPr="005D61CE">
        <w:rPr>
          <w:rFonts w:ascii="Arial" w:hAnsi="Arial" w:cs="Arial"/>
          <w:b/>
          <w:sz w:val="24"/>
          <w:szCs w:val="24"/>
        </w:rPr>
        <w:t xml:space="preserve">b) Forma. </w:t>
      </w:r>
      <w:r w:rsidRPr="005D61CE">
        <w:rPr>
          <w:rFonts w:ascii="Arial" w:hAnsi="Arial" w:cs="Arial"/>
          <w:sz w:val="24"/>
          <w:szCs w:val="24"/>
        </w:rPr>
        <w:t>La demanda se presentó por escrito ante la autoridad señalada como responsable</w:t>
      </w:r>
      <w:r>
        <w:rPr>
          <w:rFonts w:ascii="Arial" w:hAnsi="Arial" w:cs="Arial"/>
          <w:sz w:val="24"/>
          <w:szCs w:val="24"/>
        </w:rPr>
        <w:t>; en ella</w:t>
      </w:r>
      <w:r w:rsidRPr="005D61CE">
        <w:rPr>
          <w:rFonts w:ascii="Arial" w:hAnsi="Arial" w:cs="Arial"/>
          <w:sz w:val="24"/>
          <w:szCs w:val="24"/>
        </w:rPr>
        <w:t xml:space="preserve"> consta la denominación del partido actor,</w:t>
      </w:r>
      <w:r>
        <w:rPr>
          <w:rFonts w:ascii="Arial" w:hAnsi="Arial" w:cs="Arial"/>
          <w:sz w:val="24"/>
          <w:szCs w:val="24"/>
        </w:rPr>
        <w:t xml:space="preserve"> así como el</w:t>
      </w:r>
      <w:r w:rsidRPr="005D61CE">
        <w:rPr>
          <w:rFonts w:ascii="Arial" w:hAnsi="Arial" w:cs="Arial"/>
          <w:sz w:val="24"/>
          <w:szCs w:val="24"/>
        </w:rPr>
        <w:t xml:space="preserve"> nombre y firma de quien promueve en su representación</w:t>
      </w:r>
      <w:r>
        <w:rPr>
          <w:rFonts w:ascii="Arial" w:hAnsi="Arial" w:cs="Arial"/>
          <w:sz w:val="24"/>
          <w:szCs w:val="24"/>
        </w:rPr>
        <w:t>;</w:t>
      </w:r>
      <w:r w:rsidRPr="005D61CE">
        <w:rPr>
          <w:rFonts w:ascii="Arial" w:hAnsi="Arial" w:cs="Arial"/>
          <w:sz w:val="24"/>
          <w:szCs w:val="24"/>
        </w:rPr>
        <w:t xml:space="preserve"> </w:t>
      </w:r>
      <w:r>
        <w:rPr>
          <w:rFonts w:ascii="Arial" w:hAnsi="Arial" w:cs="Arial"/>
          <w:sz w:val="24"/>
          <w:szCs w:val="24"/>
        </w:rPr>
        <w:t xml:space="preserve">se identifica </w:t>
      </w:r>
      <w:r w:rsidRPr="005D61CE">
        <w:rPr>
          <w:rFonts w:ascii="Arial" w:hAnsi="Arial" w:cs="Arial"/>
          <w:sz w:val="24"/>
          <w:szCs w:val="24"/>
        </w:rPr>
        <w:t xml:space="preserve">la </w:t>
      </w:r>
      <w:r>
        <w:rPr>
          <w:rFonts w:ascii="Arial" w:hAnsi="Arial" w:cs="Arial"/>
          <w:sz w:val="24"/>
          <w:szCs w:val="24"/>
        </w:rPr>
        <w:t>determinación</w:t>
      </w:r>
      <w:r w:rsidRPr="005D61CE">
        <w:rPr>
          <w:rFonts w:ascii="Arial" w:hAnsi="Arial" w:cs="Arial"/>
          <w:sz w:val="24"/>
          <w:szCs w:val="24"/>
        </w:rPr>
        <w:t xml:space="preserve"> combatida</w:t>
      </w:r>
      <w:r>
        <w:rPr>
          <w:rFonts w:ascii="Arial" w:hAnsi="Arial" w:cs="Arial"/>
          <w:sz w:val="24"/>
          <w:szCs w:val="24"/>
        </w:rPr>
        <w:t>;</w:t>
      </w:r>
      <w:r w:rsidRPr="005D61CE">
        <w:rPr>
          <w:rFonts w:ascii="Arial" w:hAnsi="Arial" w:cs="Arial"/>
          <w:sz w:val="24"/>
          <w:szCs w:val="24"/>
        </w:rPr>
        <w:t xml:space="preserve"> </w:t>
      </w:r>
      <w:r>
        <w:rPr>
          <w:rFonts w:ascii="Arial" w:hAnsi="Arial" w:cs="Arial"/>
          <w:sz w:val="24"/>
          <w:szCs w:val="24"/>
        </w:rPr>
        <w:t xml:space="preserve">se mencionan </w:t>
      </w:r>
      <w:r w:rsidRPr="005D61CE">
        <w:rPr>
          <w:rFonts w:ascii="Arial" w:hAnsi="Arial" w:cs="Arial"/>
          <w:sz w:val="24"/>
          <w:szCs w:val="24"/>
        </w:rPr>
        <w:t>los hechos y agravios</w:t>
      </w:r>
      <w:r>
        <w:rPr>
          <w:rFonts w:ascii="Arial" w:hAnsi="Arial" w:cs="Arial"/>
          <w:sz w:val="24"/>
          <w:szCs w:val="24"/>
        </w:rPr>
        <w:t xml:space="preserve"> conducentes</w:t>
      </w:r>
      <w:r w:rsidRPr="005D61CE">
        <w:rPr>
          <w:rFonts w:ascii="Arial" w:hAnsi="Arial" w:cs="Arial"/>
          <w:sz w:val="24"/>
          <w:szCs w:val="24"/>
        </w:rPr>
        <w:t xml:space="preserve">, así como los </w:t>
      </w:r>
      <w:r>
        <w:rPr>
          <w:rFonts w:ascii="Arial" w:hAnsi="Arial" w:cs="Arial"/>
          <w:sz w:val="24"/>
          <w:szCs w:val="24"/>
        </w:rPr>
        <w:t>preceptos constitucionales</w:t>
      </w:r>
      <w:r w:rsidRPr="005D61CE">
        <w:rPr>
          <w:rFonts w:ascii="Arial" w:hAnsi="Arial" w:cs="Arial"/>
          <w:sz w:val="24"/>
          <w:szCs w:val="24"/>
        </w:rPr>
        <w:t xml:space="preserve"> </w:t>
      </w:r>
      <w:r>
        <w:rPr>
          <w:rFonts w:ascii="Arial" w:hAnsi="Arial" w:cs="Arial"/>
          <w:sz w:val="24"/>
          <w:szCs w:val="24"/>
        </w:rPr>
        <w:t>presuntamente</w:t>
      </w:r>
      <w:r w:rsidRPr="005D61CE">
        <w:rPr>
          <w:rFonts w:ascii="Arial" w:hAnsi="Arial" w:cs="Arial"/>
          <w:sz w:val="24"/>
          <w:szCs w:val="24"/>
        </w:rPr>
        <w:t xml:space="preserve"> violados.</w:t>
      </w:r>
    </w:p>
    <w:p w:rsidR="003E26B3" w:rsidRDefault="003E26B3" w:rsidP="003E26B3">
      <w:pPr>
        <w:spacing w:before="100" w:beforeAutospacing="1" w:after="100" w:afterAutospacing="1" w:line="336" w:lineRule="auto"/>
        <w:jc w:val="both"/>
        <w:rPr>
          <w:rFonts w:ascii="Arial" w:hAnsi="Arial" w:cs="Arial"/>
          <w:sz w:val="24"/>
          <w:szCs w:val="24"/>
        </w:rPr>
      </w:pPr>
      <w:r w:rsidRPr="005D61CE">
        <w:rPr>
          <w:rFonts w:ascii="Arial" w:hAnsi="Arial" w:cs="Arial"/>
          <w:b/>
          <w:sz w:val="24"/>
          <w:szCs w:val="24"/>
        </w:rPr>
        <w:t>c) Legitimación y personería.</w:t>
      </w:r>
      <w:r>
        <w:rPr>
          <w:rFonts w:ascii="Arial" w:hAnsi="Arial" w:cs="Arial"/>
          <w:sz w:val="24"/>
          <w:szCs w:val="24"/>
        </w:rPr>
        <w:t xml:space="preserve"> La parte actora está legitimada por tratarse de un partido político que acude a través de Claudia Magaly Palma Encalada, misma que se encuentra reconocida por la responsable en su informe circunstanciado</w:t>
      </w:r>
      <w:r>
        <w:rPr>
          <w:rStyle w:val="Refdenotaalpie"/>
          <w:rFonts w:ascii="Arial" w:hAnsi="Arial"/>
          <w:sz w:val="24"/>
          <w:szCs w:val="24"/>
        </w:rPr>
        <w:footnoteReference w:id="2"/>
      </w:r>
      <w:r>
        <w:rPr>
          <w:rFonts w:ascii="Arial" w:hAnsi="Arial" w:cs="Arial"/>
          <w:sz w:val="24"/>
          <w:szCs w:val="24"/>
        </w:rPr>
        <w:t xml:space="preserve"> como representante propietaria del Partido Acción Nacional ante el Consejo General del Instituto Electoral de Coahuila.</w:t>
      </w:r>
    </w:p>
    <w:p w:rsidR="003E26B3" w:rsidRDefault="003E26B3" w:rsidP="003E26B3">
      <w:pPr>
        <w:spacing w:before="100" w:beforeAutospacing="1" w:after="100" w:afterAutospacing="1" w:line="336" w:lineRule="auto"/>
        <w:jc w:val="both"/>
        <w:rPr>
          <w:rFonts w:ascii="Arial" w:hAnsi="Arial" w:cs="Arial"/>
          <w:sz w:val="24"/>
          <w:szCs w:val="24"/>
        </w:rPr>
      </w:pPr>
      <w:r w:rsidRPr="00CD7F5E">
        <w:rPr>
          <w:rFonts w:ascii="Arial" w:hAnsi="Arial" w:cs="Arial"/>
          <w:b/>
          <w:sz w:val="24"/>
          <w:szCs w:val="24"/>
        </w:rPr>
        <w:t>d) Interés jurídico.</w:t>
      </w:r>
      <w:r w:rsidRPr="00CD7F5E">
        <w:rPr>
          <w:rFonts w:ascii="Arial" w:hAnsi="Arial" w:cs="Arial"/>
          <w:sz w:val="24"/>
          <w:szCs w:val="24"/>
        </w:rPr>
        <w:t xml:space="preserve"> Se satisface en razón de que el instituto político accionante controvierte la sentencia dictada en el Juicio Electoral 61/2017, a través del cual la autoridad responsable confirmó el acuerdo IEC/CG/147/2017 emitido por el Consejo General del Instituto Electoral de Coahuila de Zaragoza.</w:t>
      </w:r>
    </w:p>
    <w:p w:rsidR="003E26B3" w:rsidRDefault="003E26B3" w:rsidP="003E26B3">
      <w:pPr>
        <w:spacing w:before="100" w:beforeAutospacing="1" w:after="100" w:afterAutospacing="1" w:line="336" w:lineRule="auto"/>
        <w:jc w:val="both"/>
        <w:rPr>
          <w:rFonts w:ascii="Arial" w:hAnsi="Arial" w:cs="Arial"/>
          <w:sz w:val="24"/>
          <w:szCs w:val="24"/>
        </w:rPr>
      </w:pPr>
      <w:r w:rsidRPr="005D61CE">
        <w:rPr>
          <w:rFonts w:ascii="Arial" w:hAnsi="Arial" w:cs="Arial"/>
          <w:b/>
          <w:sz w:val="24"/>
          <w:szCs w:val="24"/>
        </w:rPr>
        <w:t>e) Definitividad y firmeza.</w:t>
      </w:r>
      <w:r>
        <w:rPr>
          <w:rFonts w:ascii="Arial" w:hAnsi="Arial" w:cs="Arial"/>
          <w:sz w:val="24"/>
          <w:szCs w:val="24"/>
        </w:rPr>
        <w:t xml:space="preserve"> En la legislación electoral local no existe medio de impugnación que permita combatir la resolución reclamada.</w:t>
      </w:r>
    </w:p>
    <w:p w:rsidR="003E26B3" w:rsidRDefault="003E26B3" w:rsidP="003E26B3">
      <w:pPr>
        <w:spacing w:before="100" w:beforeAutospacing="1" w:after="100" w:afterAutospacing="1" w:line="336" w:lineRule="auto"/>
        <w:jc w:val="both"/>
        <w:rPr>
          <w:rFonts w:ascii="Arial" w:hAnsi="Arial" w:cs="Arial"/>
          <w:sz w:val="24"/>
          <w:szCs w:val="24"/>
        </w:rPr>
      </w:pPr>
      <w:r w:rsidRPr="005D61CE">
        <w:rPr>
          <w:rFonts w:ascii="Arial" w:hAnsi="Arial" w:cs="Arial"/>
          <w:b/>
          <w:sz w:val="24"/>
          <w:szCs w:val="24"/>
        </w:rPr>
        <w:t>f) Violación a preceptos constitucionales.</w:t>
      </w:r>
      <w:r>
        <w:rPr>
          <w:rFonts w:ascii="Arial" w:hAnsi="Arial" w:cs="Arial"/>
          <w:sz w:val="24"/>
          <w:szCs w:val="24"/>
        </w:rPr>
        <w:t xml:space="preserve"> Se acredita este requisito porque en el escrito correspondiente se alega la vulneración a artículos de la Constitución Política de los Estados Unidos Mexicanos.</w:t>
      </w:r>
      <w:r>
        <w:rPr>
          <w:rStyle w:val="Refdenotaalpie"/>
          <w:rFonts w:ascii="Arial" w:hAnsi="Arial"/>
          <w:sz w:val="24"/>
          <w:szCs w:val="24"/>
        </w:rPr>
        <w:footnoteReference w:id="3"/>
      </w:r>
    </w:p>
    <w:p w:rsidR="003E26B3" w:rsidRDefault="003E26B3" w:rsidP="003E26B3">
      <w:pPr>
        <w:spacing w:before="100" w:beforeAutospacing="1" w:after="100" w:afterAutospacing="1" w:line="336" w:lineRule="auto"/>
        <w:jc w:val="both"/>
        <w:rPr>
          <w:rFonts w:ascii="Arial" w:hAnsi="Arial" w:cs="Arial"/>
          <w:sz w:val="24"/>
          <w:szCs w:val="24"/>
        </w:rPr>
      </w:pPr>
      <w:r w:rsidRPr="00E9551A">
        <w:rPr>
          <w:rFonts w:ascii="Arial" w:hAnsi="Arial" w:cs="Arial"/>
          <w:b/>
          <w:sz w:val="24"/>
          <w:szCs w:val="24"/>
        </w:rPr>
        <w:lastRenderedPageBreak/>
        <w:t>g) Violación determinante.</w:t>
      </w:r>
      <w:r>
        <w:rPr>
          <w:rFonts w:ascii="Arial" w:hAnsi="Arial" w:cs="Arial"/>
          <w:sz w:val="24"/>
          <w:szCs w:val="24"/>
        </w:rPr>
        <w:t xml:space="preserve"> La violación reclamada es determinante porque la parte actora pretende que se revoque la sentencia impugnada, </w:t>
      </w:r>
      <w:r w:rsidRPr="00FF11AB">
        <w:rPr>
          <w:rFonts w:ascii="Arial" w:hAnsi="Arial" w:cs="Arial"/>
          <w:sz w:val="24"/>
          <w:szCs w:val="24"/>
        </w:rPr>
        <w:t>así como</w:t>
      </w:r>
      <w:r>
        <w:rPr>
          <w:rFonts w:ascii="Arial" w:hAnsi="Arial" w:cs="Arial"/>
          <w:sz w:val="24"/>
          <w:szCs w:val="24"/>
        </w:rPr>
        <w:t xml:space="preserve"> el acuerdo que valida el cumplimiento de las reglas de paridad de las candidaturas de integrantes de los ayuntamientos que precisa, dentro del proceso electoral ordinario dos mil dieciséis – dos mil diecisiete del estado de Coahuila de Zaragoza, y de alcanzar su pretensión, podrían modificarse diversas candidaturas, lo que impactaría en las opciones del electorado.</w:t>
      </w:r>
    </w:p>
    <w:p w:rsidR="003E26B3" w:rsidRDefault="003E26B3" w:rsidP="003E26B3">
      <w:pPr>
        <w:spacing w:before="100" w:beforeAutospacing="1" w:after="100" w:afterAutospacing="1" w:line="336" w:lineRule="auto"/>
        <w:jc w:val="both"/>
        <w:rPr>
          <w:rFonts w:ascii="Arial" w:hAnsi="Arial" w:cs="Arial"/>
          <w:sz w:val="24"/>
          <w:szCs w:val="24"/>
        </w:rPr>
      </w:pPr>
      <w:r w:rsidRPr="007A0BEA">
        <w:rPr>
          <w:rFonts w:ascii="Arial" w:hAnsi="Arial" w:cs="Arial"/>
          <w:b/>
          <w:sz w:val="24"/>
          <w:szCs w:val="24"/>
        </w:rPr>
        <w:t>h) Posibilidad jurídica y material de la reparación aducida.</w:t>
      </w:r>
      <w:r w:rsidRPr="007A0BEA">
        <w:rPr>
          <w:rFonts w:ascii="Arial" w:hAnsi="Arial" w:cs="Arial"/>
          <w:sz w:val="24"/>
          <w:szCs w:val="24"/>
        </w:rPr>
        <w:t xml:space="preserve"> Se considera que el resarcimiento solicitado es viable, </w:t>
      </w:r>
      <w:r>
        <w:rPr>
          <w:rFonts w:ascii="Arial" w:hAnsi="Arial" w:cs="Arial"/>
          <w:sz w:val="24"/>
          <w:szCs w:val="24"/>
        </w:rPr>
        <w:t>en virtud de que el estado de Coahuila de Zaragoza se encuentra en la etapa de campañas electorales, mismas que concluyen el treinta y uno de mayo del año en curso.</w:t>
      </w:r>
      <w:r>
        <w:rPr>
          <w:rStyle w:val="Refdenotaalpie"/>
          <w:rFonts w:ascii="Arial" w:hAnsi="Arial"/>
          <w:sz w:val="24"/>
          <w:szCs w:val="24"/>
        </w:rPr>
        <w:footnoteReference w:id="4"/>
      </w:r>
    </w:p>
    <w:p w:rsidR="003E26B3" w:rsidRDefault="003E26B3" w:rsidP="003E26B3">
      <w:pPr>
        <w:spacing w:before="100" w:beforeAutospacing="1" w:after="100" w:afterAutospacing="1" w:line="336" w:lineRule="auto"/>
        <w:jc w:val="both"/>
        <w:rPr>
          <w:rFonts w:ascii="Arial" w:hAnsi="Arial" w:cs="Arial"/>
          <w:sz w:val="24"/>
          <w:szCs w:val="24"/>
        </w:rPr>
      </w:pPr>
      <w:r>
        <w:rPr>
          <w:rFonts w:ascii="Arial" w:hAnsi="Arial" w:cs="Arial"/>
          <w:b/>
          <w:sz w:val="24"/>
          <w:szCs w:val="24"/>
        </w:rPr>
        <w:t>II</w:t>
      </w:r>
      <w:r w:rsidRPr="009C79C1">
        <w:rPr>
          <w:rFonts w:ascii="Arial" w:hAnsi="Arial" w:cs="Arial"/>
          <w:b/>
          <w:sz w:val="24"/>
          <w:szCs w:val="24"/>
        </w:rPr>
        <w:t>I. Pruebas de la parte actora.</w:t>
      </w:r>
      <w:r>
        <w:rPr>
          <w:rFonts w:ascii="Arial" w:hAnsi="Arial" w:cs="Arial"/>
          <w:sz w:val="24"/>
          <w:szCs w:val="24"/>
        </w:rPr>
        <w:t xml:space="preserve"> En cuanto a la prueba documental pública ofrecida en su escrito de demanda, así como la instrumental de actuaciones, resulta innecesario su ofrecimiento, en virtud de que dichas constancias obran en el expediente del juicio local, mismo que fue remitido por el tribunal responsable, conforme lo previsto en la ley procesal de la materia.</w:t>
      </w:r>
    </w:p>
    <w:p w:rsidR="003E26B3" w:rsidRDefault="003E26B3" w:rsidP="003E26B3">
      <w:pPr>
        <w:spacing w:before="100" w:beforeAutospacing="1" w:after="100" w:afterAutospacing="1" w:line="336" w:lineRule="auto"/>
        <w:jc w:val="both"/>
        <w:rPr>
          <w:rFonts w:ascii="Arial" w:hAnsi="Arial" w:cs="Arial"/>
          <w:sz w:val="24"/>
          <w:szCs w:val="24"/>
        </w:rPr>
      </w:pPr>
      <w:r>
        <w:rPr>
          <w:rFonts w:ascii="Arial" w:hAnsi="Arial" w:cs="Arial"/>
          <w:sz w:val="24"/>
          <w:szCs w:val="24"/>
        </w:rPr>
        <w:t>Asimismo, respecto a la presuncional legal y humana, cabe mencionar que esta instancia se encuentra facultada en todo momento para apreciar los hechos litigiosos conforme a las reglas de la lógica, de la sana crítica y a las máximas de la experiencia, así como a actualizar diversas presunciones establecidas en la ley, con independencia de que sea ofrecida o no por las partes.</w:t>
      </w:r>
    </w:p>
    <w:p w:rsidR="003E26B3" w:rsidRPr="00C83575" w:rsidRDefault="003E26B3" w:rsidP="003E26B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NOTIFÍQUESE.</w:t>
      </w:r>
    </w:p>
    <w:p w:rsidR="003E26B3" w:rsidRDefault="003E26B3" w:rsidP="003E26B3">
      <w:pPr>
        <w:spacing w:before="100" w:beforeAutospacing="1" w:after="100" w:afterAutospacing="1" w:line="336" w:lineRule="auto"/>
        <w:jc w:val="both"/>
        <w:rPr>
          <w:rFonts w:ascii="Arial" w:hAnsi="Arial" w:cs="Arial"/>
          <w:sz w:val="24"/>
          <w:szCs w:val="24"/>
        </w:rPr>
      </w:pPr>
      <w:r w:rsidRPr="00C83575">
        <w:rPr>
          <w:rFonts w:ascii="Arial" w:eastAsia="Times New Roman" w:hAnsi="Arial" w:cs="Arial"/>
          <w:sz w:val="24"/>
          <w:szCs w:val="24"/>
          <w:lang w:val="es-ES_tradnl" w:eastAsia="es-ES"/>
        </w:rPr>
        <w:t xml:space="preserve">Así lo acordó y firma el Magistrado Instructor de la Sala Regional del Tribunal Electoral del Poder Judicial de la Federación, correspondiente a la </w:t>
      </w:r>
      <w:r w:rsidRPr="00C83575">
        <w:rPr>
          <w:rFonts w:ascii="Arial" w:eastAsia="Times New Roman" w:hAnsi="Arial" w:cs="Arial"/>
          <w:sz w:val="24"/>
          <w:szCs w:val="24"/>
          <w:lang w:val="es-ES_tradnl" w:eastAsia="es-ES"/>
        </w:rPr>
        <w:lastRenderedPageBreak/>
        <w:t>Segunda Circunscripción Electoral Plurinominal, en presencia de</w:t>
      </w:r>
      <w:r>
        <w:rPr>
          <w:rFonts w:ascii="Arial" w:eastAsia="Times New Roman" w:hAnsi="Arial" w:cs="Arial"/>
          <w:sz w:val="24"/>
          <w:szCs w:val="24"/>
          <w:lang w:val="es-ES_tradnl" w:eastAsia="es-ES"/>
        </w:rPr>
        <w:t xml:space="preserve"> </w:t>
      </w:r>
      <w:r w:rsidRPr="00C83575">
        <w:rPr>
          <w:rFonts w:ascii="Arial" w:eastAsia="Times New Roman" w:hAnsi="Arial" w:cs="Arial"/>
          <w:sz w:val="24"/>
          <w:szCs w:val="24"/>
          <w:lang w:val="es-ES_tradnl" w:eastAsia="es-ES"/>
        </w:rPr>
        <w:t>l</w:t>
      </w:r>
      <w:r>
        <w:rPr>
          <w:rFonts w:ascii="Arial" w:eastAsia="Times New Roman" w:hAnsi="Arial" w:cs="Arial"/>
          <w:sz w:val="24"/>
          <w:szCs w:val="24"/>
          <w:lang w:val="es-ES_tradnl" w:eastAsia="es-ES"/>
        </w:rPr>
        <w:t>a</w:t>
      </w:r>
      <w:r w:rsidRPr="00C83575">
        <w:rPr>
          <w:rFonts w:ascii="Arial" w:eastAsia="Times New Roman" w:hAnsi="Arial" w:cs="Arial"/>
          <w:sz w:val="24"/>
          <w:szCs w:val="24"/>
          <w:lang w:val="es-ES_tradnl" w:eastAsia="es-ES"/>
        </w:rPr>
        <w:t xml:space="preserve"> Secretari</w:t>
      </w:r>
      <w:r>
        <w:rPr>
          <w:rFonts w:ascii="Arial" w:eastAsia="Times New Roman" w:hAnsi="Arial" w:cs="Arial"/>
          <w:sz w:val="24"/>
          <w:szCs w:val="24"/>
          <w:lang w:val="es-ES_tradnl" w:eastAsia="es-ES"/>
        </w:rPr>
        <w:t>a</w:t>
      </w:r>
      <w:r w:rsidRPr="00C83575">
        <w:rPr>
          <w:rFonts w:ascii="Arial" w:eastAsia="Times New Roman" w:hAnsi="Arial" w:cs="Arial"/>
          <w:sz w:val="24"/>
          <w:szCs w:val="24"/>
          <w:lang w:val="es-ES_tradnl" w:eastAsia="es-ES"/>
        </w:rPr>
        <w:t xml:space="preserve"> de Estudio y Cuenta, quien da fe</w:t>
      </w:r>
      <w:r w:rsidRPr="00C83575">
        <w:rPr>
          <w:rFonts w:ascii="Arial" w:hAnsi="Arial" w:cs="Arial"/>
          <w:sz w:val="24"/>
          <w:szCs w:val="24"/>
        </w:rPr>
        <w:t xml:space="preserve">. </w:t>
      </w:r>
    </w:p>
    <w:p w:rsidR="003E26B3" w:rsidRPr="00C83575" w:rsidRDefault="003E26B3" w:rsidP="003E26B3">
      <w:pPr>
        <w:spacing w:before="100" w:beforeAutospacing="1" w:after="100" w:afterAutospacing="1" w:line="336" w:lineRule="auto"/>
        <w:jc w:val="both"/>
        <w:rPr>
          <w:rFonts w:ascii="Arial" w:hAnsi="Arial" w:cs="Arial"/>
          <w:sz w:val="24"/>
          <w:szCs w:val="24"/>
        </w:rPr>
      </w:pPr>
    </w:p>
    <w:p w:rsidR="003E26B3" w:rsidRPr="00C83575" w:rsidRDefault="003E26B3" w:rsidP="003E26B3">
      <w:pPr>
        <w:spacing w:before="100" w:beforeAutospacing="1" w:after="100" w:afterAutospacing="1" w:line="336" w:lineRule="auto"/>
        <w:jc w:val="both"/>
        <w:rPr>
          <w:rFonts w:ascii="Arial" w:hAnsi="Arial" w:cs="Arial"/>
          <w:sz w:val="34"/>
          <w:szCs w:val="34"/>
        </w:rPr>
      </w:pPr>
    </w:p>
    <w:tbl>
      <w:tblPr>
        <w:tblpPr w:leftFromText="141" w:rightFromText="141" w:vertAnchor="text" w:horzAnchor="margin" w:tblpXSpec="center" w:tblpY="297"/>
        <w:tblW w:w="8648" w:type="dxa"/>
        <w:tblLayout w:type="fixed"/>
        <w:tblLook w:val="0000" w:firstRow="0" w:lastRow="0" w:firstColumn="0" w:lastColumn="0" w:noHBand="0" w:noVBand="0"/>
      </w:tblPr>
      <w:tblGrid>
        <w:gridCol w:w="3970"/>
        <w:gridCol w:w="4678"/>
      </w:tblGrid>
      <w:tr w:rsidR="003E26B3" w:rsidRPr="00611665" w:rsidTr="003E26B3">
        <w:trPr>
          <w:trHeight w:val="1354"/>
        </w:trPr>
        <w:tc>
          <w:tcPr>
            <w:tcW w:w="3970" w:type="dxa"/>
          </w:tcPr>
          <w:p w:rsidR="003E26B3" w:rsidRPr="00C83575" w:rsidRDefault="003E26B3" w:rsidP="003E26B3">
            <w:pPr>
              <w:spacing w:after="0" w:line="240" w:lineRule="auto"/>
              <w:jc w:val="center"/>
              <w:rPr>
                <w:rFonts w:ascii="Arial" w:hAnsi="Arial" w:cs="Arial"/>
                <w:b/>
                <w:spacing w:val="-10"/>
                <w:sz w:val="24"/>
                <w:szCs w:val="24"/>
              </w:rPr>
            </w:pPr>
            <w:r w:rsidRPr="00C83575">
              <w:rPr>
                <w:rFonts w:ascii="Arial" w:hAnsi="Arial" w:cs="Arial"/>
                <w:b/>
                <w:spacing w:val="-10"/>
                <w:sz w:val="24"/>
                <w:szCs w:val="24"/>
              </w:rPr>
              <w:t>YAIRSINIO DAVID GARCÍA ORTIZ</w:t>
            </w:r>
          </w:p>
          <w:p w:rsidR="003E26B3" w:rsidRPr="00C83575" w:rsidRDefault="003E26B3" w:rsidP="003E26B3">
            <w:pPr>
              <w:spacing w:after="0" w:line="240" w:lineRule="auto"/>
              <w:ind w:left="567"/>
              <w:jc w:val="center"/>
              <w:rPr>
                <w:rFonts w:ascii="Arial" w:hAnsi="Arial" w:cs="Arial"/>
                <w:b/>
                <w:spacing w:val="-10"/>
                <w:sz w:val="24"/>
                <w:szCs w:val="24"/>
              </w:rPr>
            </w:pPr>
            <w:r w:rsidRPr="00C83575">
              <w:rPr>
                <w:rFonts w:ascii="Arial" w:hAnsi="Arial" w:cs="Arial"/>
                <w:b/>
                <w:spacing w:val="-10"/>
                <w:sz w:val="24"/>
                <w:szCs w:val="24"/>
              </w:rPr>
              <w:t>MAGISTRADO</w:t>
            </w:r>
          </w:p>
          <w:p w:rsidR="003E26B3" w:rsidRPr="00C83575" w:rsidRDefault="003E26B3" w:rsidP="003E26B3">
            <w:pPr>
              <w:ind w:firstLine="708"/>
              <w:jc w:val="center"/>
              <w:rPr>
                <w:rFonts w:ascii="Arial" w:hAnsi="Arial" w:cs="Arial"/>
                <w:sz w:val="24"/>
                <w:szCs w:val="24"/>
              </w:rPr>
            </w:pPr>
          </w:p>
        </w:tc>
        <w:tc>
          <w:tcPr>
            <w:tcW w:w="4678" w:type="dxa"/>
          </w:tcPr>
          <w:p w:rsidR="003E26B3" w:rsidRPr="00C83575" w:rsidRDefault="003E26B3" w:rsidP="006B4DF9">
            <w:pPr>
              <w:spacing w:after="0" w:line="240" w:lineRule="auto"/>
              <w:jc w:val="center"/>
              <w:rPr>
                <w:rFonts w:ascii="Arial" w:hAnsi="Arial" w:cs="Arial"/>
                <w:b/>
                <w:caps/>
                <w:spacing w:val="-10"/>
                <w:sz w:val="24"/>
                <w:szCs w:val="24"/>
              </w:rPr>
            </w:pPr>
            <w:r>
              <w:rPr>
                <w:rFonts w:ascii="Arial" w:hAnsi="Arial" w:cs="Arial"/>
                <w:b/>
                <w:caps/>
                <w:spacing w:val="-10"/>
                <w:sz w:val="24"/>
                <w:szCs w:val="24"/>
              </w:rPr>
              <w:t>ELENA PONCE AGUILAR</w:t>
            </w:r>
          </w:p>
          <w:p w:rsidR="003E26B3" w:rsidRPr="00611665" w:rsidRDefault="003E26B3" w:rsidP="006B4DF9">
            <w:pPr>
              <w:spacing w:after="0" w:line="240" w:lineRule="auto"/>
              <w:jc w:val="center"/>
              <w:rPr>
                <w:rFonts w:ascii="Arial" w:hAnsi="Arial" w:cs="Arial"/>
                <w:b/>
                <w:spacing w:val="-10"/>
                <w:sz w:val="24"/>
                <w:szCs w:val="24"/>
              </w:rPr>
            </w:pPr>
            <w:r>
              <w:rPr>
                <w:rFonts w:ascii="Arial" w:hAnsi="Arial" w:cs="Arial"/>
                <w:b/>
                <w:spacing w:val="-10"/>
                <w:sz w:val="24"/>
                <w:szCs w:val="24"/>
              </w:rPr>
              <w:t>SECRETARIA</w:t>
            </w:r>
          </w:p>
        </w:tc>
      </w:tr>
    </w:tbl>
    <w:p w:rsidR="003E26B3" w:rsidRPr="001F26D0" w:rsidRDefault="003E26B3" w:rsidP="003E26B3">
      <w:pPr>
        <w:spacing w:after="0" w:line="240" w:lineRule="auto"/>
        <w:rPr>
          <w:rFonts w:ascii="Arial" w:hAnsi="Arial" w:cs="Arial"/>
          <w:sz w:val="10"/>
          <w:szCs w:val="10"/>
        </w:rPr>
      </w:pPr>
    </w:p>
    <w:p w:rsidR="00422533" w:rsidRPr="003E26B3" w:rsidRDefault="00422533" w:rsidP="00291B9A">
      <w:pPr>
        <w:spacing w:after="0" w:line="360" w:lineRule="auto"/>
        <w:jc w:val="both"/>
        <w:rPr>
          <w:rFonts w:ascii="Arial" w:eastAsia="Times New Roman" w:hAnsi="Arial" w:cs="Arial"/>
          <w:sz w:val="24"/>
          <w:szCs w:val="24"/>
          <w:lang w:eastAsia="es-ES"/>
        </w:rPr>
      </w:pPr>
    </w:p>
    <w:sectPr w:rsidR="00422533" w:rsidRPr="003E26B3" w:rsidSect="00C4398D">
      <w:headerReference w:type="even" r:id="rId8"/>
      <w:headerReference w:type="default" r:id="rId9"/>
      <w:footerReference w:type="even" r:id="rId10"/>
      <w:footerReference w:type="default" r:id="rId11"/>
      <w:headerReference w:type="first" r:id="rId12"/>
      <w:pgSz w:w="12242" w:h="19278" w:code="165"/>
      <w:pgMar w:top="1134" w:right="1134" w:bottom="1134"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08E" w:rsidRDefault="001B508E" w:rsidP="008F4DAA">
      <w:pPr>
        <w:spacing w:after="0" w:line="240" w:lineRule="auto"/>
      </w:pPr>
      <w:r>
        <w:separator/>
      </w:r>
    </w:p>
  </w:endnote>
  <w:endnote w:type="continuationSeparator" w:id="0">
    <w:p w:rsidR="001B508E" w:rsidRDefault="001B508E"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08E" w:rsidRDefault="001B508E" w:rsidP="008F4DAA">
      <w:pPr>
        <w:spacing w:after="0" w:line="240" w:lineRule="auto"/>
      </w:pPr>
      <w:r>
        <w:separator/>
      </w:r>
    </w:p>
  </w:footnote>
  <w:footnote w:type="continuationSeparator" w:id="0">
    <w:p w:rsidR="001B508E" w:rsidRDefault="001B508E" w:rsidP="008F4DAA">
      <w:pPr>
        <w:spacing w:after="0" w:line="240" w:lineRule="auto"/>
      </w:pPr>
      <w:r>
        <w:continuationSeparator/>
      </w:r>
    </w:p>
  </w:footnote>
  <w:footnote w:id="1">
    <w:p w:rsidR="003E26B3" w:rsidRPr="003D4B45" w:rsidRDefault="003E26B3" w:rsidP="003E26B3">
      <w:pPr>
        <w:pStyle w:val="Textonotapie"/>
        <w:spacing w:after="0" w:line="240" w:lineRule="auto"/>
        <w:jc w:val="both"/>
        <w:rPr>
          <w:rFonts w:ascii="Arial" w:hAnsi="Arial" w:cs="Arial"/>
        </w:rPr>
      </w:pPr>
      <w:r w:rsidRPr="003D4B45">
        <w:rPr>
          <w:rStyle w:val="Refdenotaalpie"/>
          <w:rFonts w:ascii="Arial" w:hAnsi="Arial" w:cs="Arial"/>
        </w:rPr>
        <w:footnoteRef/>
      </w:r>
      <w:r w:rsidRPr="003D4B45">
        <w:rPr>
          <w:rFonts w:ascii="Arial" w:hAnsi="Arial" w:cs="Arial"/>
        </w:rPr>
        <w:t xml:space="preserve"> Visible a foja 1467 del Cuaderno Accesorio tres.</w:t>
      </w:r>
    </w:p>
  </w:footnote>
  <w:footnote w:id="2">
    <w:p w:rsidR="003E26B3" w:rsidRPr="003D4B45" w:rsidRDefault="003E26B3" w:rsidP="003E26B3">
      <w:pPr>
        <w:pStyle w:val="Textonotapie"/>
        <w:spacing w:after="0" w:line="240" w:lineRule="auto"/>
        <w:jc w:val="both"/>
        <w:rPr>
          <w:rFonts w:ascii="Arial" w:hAnsi="Arial" w:cs="Arial"/>
        </w:rPr>
      </w:pPr>
      <w:r w:rsidRPr="003D4B45">
        <w:rPr>
          <w:rStyle w:val="Refdenotaalpie"/>
          <w:rFonts w:ascii="Arial" w:hAnsi="Arial" w:cs="Arial"/>
        </w:rPr>
        <w:footnoteRef/>
      </w:r>
      <w:r w:rsidRPr="003D4B45">
        <w:rPr>
          <w:rFonts w:ascii="Arial" w:hAnsi="Arial" w:cs="Arial"/>
        </w:rPr>
        <w:t xml:space="preserve"> Visible a foja 037 reverso del expediente principal.</w:t>
      </w:r>
    </w:p>
  </w:footnote>
  <w:footnote w:id="3">
    <w:p w:rsidR="003E26B3" w:rsidRPr="001D6D5D" w:rsidRDefault="003E26B3" w:rsidP="003E26B3">
      <w:pPr>
        <w:pStyle w:val="Textonotapie"/>
        <w:spacing w:after="0" w:line="240" w:lineRule="auto"/>
        <w:jc w:val="both"/>
        <w:rPr>
          <w:rFonts w:ascii="Arial" w:hAnsi="Arial" w:cs="Arial"/>
        </w:rPr>
      </w:pPr>
      <w:r w:rsidRPr="001D6D5D">
        <w:rPr>
          <w:rStyle w:val="Refdenotaalpie"/>
          <w:rFonts w:ascii="Arial" w:hAnsi="Arial" w:cs="Arial"/>
        </w:rPr>
        <w:footnoteRef/>
      </w:r>
      <w:r w:rsidRPr="001D6D5D">
        <w:rPr>
          <w:rFonts w:ascii="Arial" w:hAnsi="Arial" w:cs="Arial"/>
        </w:rPr>
        <w:t xml:space="preserve"> Véase la jurisprudencia 2/97 de rubro: “JUICIO DE REVISIÓN CONSTITUCIONAL ELECTORAL. INTERPRETACIÓN DEL REQUISITO DE PROCEDENCIA PREVISTO EN EL ARTÍCULO 86, PÁRRAFO 1, INCISO B), DE LA LEY DE LA MATERIA”, consultable en la página oficial de internet http://portal.te.gob.mx. </w:t>
      </w:r>
    </w:p>
  </w:footnote>
  <w:footnote w:id="4">
    <w:p w:rsidR="003E26B3" w:rsidRPr="00DF5C0E" w:rsidRDefault="003E26B3" w:rsidP="003E26B3">
      <w:pPr>
        <w:pStyle w:val="Textonotapie"/>
        <w:spacing w:after="0" w:line="240" w:lineRule="auto"/>
        <w:jc w:val="both"/>
        <w:rPr>
          <w:rFonts w:ascii="Arial" w:hAnsi="Arial" w:cs="Arial"/>
        </w:rPr>
      </w:pPr>
      <w:r w:rsidRPr="00DF5C0E">
        <w:rPr>
          <w:rStyle w:val="Refdenotaalpie"/>
          <w:rFonts w:ascii="Arial" w:hAnsi="Arial" w:cs="Arial"/>
        </w:rPr>
        <w:footnoteRef/>
      </w:r>
      <w:r w:rsidRPr="00DF5C0E">
        <w:rPr>
          <w:rFonts w:ascii="Arial" w:hAnsi="Arial" w:cs="Arial"/>
        </w:rPr>
        <w:t xml:space="preserve"> Artículo 193, párrafo 5, del Código Electoral para el Estado de Coahuila de Zaragoza.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3454C8">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076021" w:rsidRPr="008B1912">
          <w:rPr>
            <w:rFonts w:ascii="Arial" w:hAnsi="Arial" w:cs="Arial"/>
            <w:b/>
            <w:noProof/>
            <w:sz w:val="20"/>
            <w:szCs w:val="20"/>
            <w:lang w:val="es-ES" w:eastAsia="es-ES"/>
          </w:rPr>
          <mc:AlternateContent>
            <mc:Choice Requires="wps">
              <w:drawing>
                <wp:anchor distT="0" distB="0" distL="114300" distR="114300" simplePos="0" relativeHeight="251661312" behindDoc="0" locked="0" layoutInCell="0" allowOverlap="1" wp14:anchorId="6331AF5F" wp14:editId="0421B558">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3454C8" w:rsidRPr="003454C8">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1AF5F"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3454C8" w:rsidRPr="003454C8">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D97AA2">
      <w:rPr>
        <w:rFonts w:ascii="Arial" w:hAnsi="Arial" w:cs="Arial"/>
        <w:b/>
        <w:sz w:val="20"/>
        <w:szCs w:val="20"/>
      </w:rPr>
      <w:t>SM-J</w:t>
    </w:r>
    <w:r w:rsidR="00DA1507">
      <w:rPr>
        <w:rFonts w:ascii="Arial" w:hAnsi="Arial" w:cs="Arial"/>
        <w:b/>
        <w:sz w:val="20"/>
        <w:szCs w:val="20"/>
      </w:rPr>
      <w:t>RC</w:t>
    </w:r>
    <w:r w:rsidR="00D97AA2">
      <w:rPr>
        <w:rFonts w:ascii="Arial" w:hAnsi="Arial" w:cs="Arial"/>
        <w:b/>
        <w:sz w:val="20"/>
        <w:szCs w:val="20"/>
      </w:rPr>
      <w:t>-</w:t>
    </w:r>
    <w:r w:rsidR="003E26B3">
      <w:rPr>
        <w:rFonts w:ascii="Arial" w:hAnsi="Arial" w:cs="Arial"/>
        <w:b/>
        <w:sz w:val="20"/>
        <w:szCs w:val="20"/>
      </w:rPr>
      <w:t>9</w:t>
    </w:r>
    <w:r w:rsidR="00273D0F">
      <w:rPr>
        <w:rFonts w:ascii="Arial" w:hAnsi="Arial" w:cs="Arial"/>
        <w:b/>
        <w:sz w:val="20"/>
        <w:szCs w:val="20"/>
      </w:rPr>
      <w:t>/201</w:t>
    </w:r>
    <w:r w:rsidR="003E26B3">
      <w:rPr>
        <w:rFonts w:ascii="Arial" w:hAnsi="Arial" w:cs="Arial"/>
        <w:b/>
        <w:sz w:val="20"/>
        <w:szCs w:val="20"/>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076021" w:rsidP="000C156E">
    <w:pPr>
      <w:pStyle w:val="Encabezado"/>
      <w:jc w:val="right"/>
      <w:rPr>
        <w:rFonts w:ascii="Arial" w:hAnsi="Arial" w:cs="Arial"/>
        <w:b/>
        <w:sz w:val="20"/>
        <w:szCs w:val="20"/>
      </w:rPr>
    </w:pPr>
    <w:r>
      <w:rPr>
        <w:noProof/>
        <w:lang w:val="es-ES" w:eastAsia="es-ES"/>
      </w:rPr>
      <w:drawing>
        <wp:anchor distT="0" distB="0" distL="114300" distR="114300" simplePos="0" relativeHeight="251659264" behindDoc="0" locked="0" layoutInCell="1" allowOverlap="1" wp14:anchorId="1C369EAD" wp14:editId="7672250A">
          <wp:simplePos x="0" y="0"/>
          <wp:positionH relativeFrom="column">
            <wp:posOffset>-1518045</wp:posOffset>
          </wp:positionH>
          <wp:positionV relativeFrom="paragraph">
            <wp:posOffset>131349</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val="es-ES" w:eastAsia="es-ES"/>
          </w:rPr>
          <mc:AlternateContent>
            <mc:Choice Requires="wps">
              <w:drawing>
                <wp:anchor distT="0" distB="0" distL="114300" distR="114300" simplePos="0" relativeHeight="251662336" behindDoc="0" locked="0" layoutInCell="0" allowOverlap="1" wp14:anchorId="1403FACE" wp14:editId="77B96236">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3454C8" w:rsidRPr="003454C8">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FACE"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3454C8" w:rsidRPr="003454C8">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3E26B3">
      <w:rPr>
        <w:rFonts w:ascii="Arial" w:hAnsi="Arial" w:cs="Arial"/>
        <w:b/>
        <w:sz w:val="20"/>
        <w:szCs w:val="20"/>
      </w:rPr>
      <w:t>9</w:t>
    </w:r>
    <w:r>
      <w:rPr>
        <w:rFonts w:ascii="Arial" w:hAnsi="Arial" w:cs="Arial"/>
        <w:b/>
        <w:sz w:val="20"/>
        <w:szCs w:val="20"/>
      </w:rPr>
      <w:t>/201</w:t>
    </w:r>
    <w:r w:rsidR="003E26B3">
      <w:rPr>
        <w:rFonts w:ascii="Arial" w:hAnsi="Arial" w:cs="Arial"/>
        <w:b/>
        <w:sz w:val="20"/>
        <w:szCs w:val="20"/>
      </w:rPr>
      <w:t>7</w:t>
    </w:r>
  </w:p>
  <w:p w:rsidR="00076021" w:rsidRDefault="0007602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val="es-ES" w:eastAsia="es-ES"/>
      </w:rPr>
      <w:drawing>
        <wp:anchor distT="0" distB="0" distL="114300" distR="114300" simplePos="0" relativeHeight="251660288" behindDoc="0" locked="0" layoutInCell="1" allowOverlap="1" wp14:anchorId="1DF9A65C" wp14:editId="0D6FCAE7">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275481"/>
    <w:multiLevelType w:val="hybridMultilevel"/>
    <w:tmpl w:val="966E9C84"/>
    <w:lvl w:ilvl="0" w:tplc="05CEF1F8">
      <w:start w:val="1"/>
      <w:numFmt w:val="lowerLetter"/>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7"/>
  </w:num>
  <w:num w:numId="6">
    <w:abstractNumId w:val="5"/>
  </w:num>
  <w:num w:numId="7">
    <w:abstractNumId w:val="8"/>
  </w:num>
  <w:num w:numId="8">
    <w:abstractNumId w:val="12"/>
  </w:num>
  <w:num w:numId="9">
    <w:abstractNumId w:val="9"/>
  </w:num>
  <w:num w:numId="10">
    <w:abstractNumId w:val="1"/>
  </w:num>
  <w:num w:numId="11">
    <w:abstractNumId w:val="3"/>
  </w:num>
  <w:num w:numId="12">
    <w:abstractNumId w:val="0"/>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963"/>
    <w:rsid w:val="00036EC4"/>
    <w:rsid w:val="0004178E"/>
    <w:rsid w:val="00042CC4"/>
    <w:rsid w:val="0004380C"/>
    <w:rsid w:val="00043DBB"/>
    <w:rsid w:val="000444F7"/>
    <w:rsid w:val="00044893"/>
    <w:rsid w:val="00047EA4"/>
    <w:rsid w:val="00051010"/>
    <w:rsid w:val="00051A3F"/>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0238"/>
    <w:rsid w:val="000839F4"/>
    <w:rsid w:val="00086798"/>
    <w:rsid w:val="00090BE2"/>
    <w:rsid w:val="00090DE8"/>
    <w:rsid w:val="00091E4F"/>
    <w:rsid w:val="0009270A"/>
    <w:rsid w:val="00093395"/>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D5457"/>
    <w:rsid w:val="000E1A06"/>
    <w:rsid w:val="000E45CD"/>
    <w:rsid w:val="000E4A14"/>
    <w:rsid w:val="000E5B89"/>
    <w:rsid w:val="000F05ED"/>
    <w:rsid w:val="000F11B2"/>
    <w:rsid w:val="000F17A3"/>
    <w:rsid w:val="000F1872"/>
    <w:rsid w:val="000F2DF8"/>
    <w:rsid w:val="000F3E76"/>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5A68"/>
    <w:rsid w:val="00136DE3"/>
    <w:rsid w:val="001372F4"/>
    <w:rsid w:val="001373A9"/>
    <w:rsid w:val="001416B4"/>
    <w:rsid w:val="00146107"/>
    <w:rsid w:val="0014623E"/>
    <w:rsid w:val="001471F2"/>
    <w:rsid w:val="001500D0"/>
    <w:rsid w:val="001513CD"/>
    <w:rsid w:val="0015294D"/>
    <w:rsid w:val="001534FE"/>
    <w:rsid w:val="001544E0"/>
    <w:rsid w:val="0015747C"/>
    <w:rsid w:val="00163149"/>
    <w:rsid w:val="001638E3"/>
    <w:rsid w:val="00163A1A"/>
    <w:rsid w:val="00163AB1"/>
    <w:rsid w:val="001651DC"/>
    <w:rsid w:val="00165DF9"/>
    <w:rsid w:val="00166827"/>
    <w:rsid w:val="00166D9A"/>
    <w:rsid w:val="00170C7D"/>
    <w:rsid w:val="001712A0"/>
    <w:rsid w:val="001745A9"/>
    <w:rsid w:val="001747FB"/>
    <w:rsid w:val="00174C69"/>
    <w:rsid w:val="001771C2"/>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4C0B"/>
    <w:rsid w:val="001A516F"/>
    <w:rsid w:val="001B1933"/>
    <w:rsid w:val="001B1A04"/>
    <w:rsid w:val="001B2689"/>
    <w:rsid w:val="001B3270"/>
    <w:rsid w:val="001B4049"/>
    <w:rsid w:val="001B41A4"/>
    <w:rsid w:val="001B508E"/>
    <w:rsid w:val="001C11AE"/>
    <w:rsid w:val="001C2B0C"/>
    <w:rsid w:val="001C3A0C"/>
    <w:rsid w:val="001D29D3"/>
    <w:rsid w:val="001D3134"/>
    <w:rsid w:val="001D45F9"/>
    <w:rsid w:val="001D5366"/>
    <w:rsid w:val="001D6967"/>
    <w:rsid w:val="001E068E"/>
    <w:rsid w:val="001E1403"/>
    <w:rsid w:val="001E187D"/>
    <w:rsid w:val="001E1B0B"/>
    <w:rsid w:val="001E2FFD"/>
    <w:rsid w:val="001E3AFF"/>
    <w:rsid w:val="001E42A8"/>
    <w:rsid w:val="001E5017"/>
    <w:rsid w:val="001E6597"/>
    <w:rsid w:val="001E76A7"/>
    <w:rsid w:val="001F051D"/>
    <w:rsid w:val="001F0BFB"/>
    <w:rsid w:val="001F20D4"/>
    <w:rsid w:val="001F31A9"/>
    <w:rsid w:val="001F6294"/>
    <w:rsid w:val="001F71E4"/>
    <w:rsid w:val="00200F64"/>
    <w:rsid w:val="002017E8"/>
    <w:rsid w:val="0020242C"/>
    <w:rsid w:val="002025D0"/>
    <w:rsid w:val="0020437B"/>
    <w:rsid w:val="00204646"/>
    <w:rsid w:val="0020777F"/>
    <w:rsid w:val="00212001"/>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5C02"/>
    <w:rsid w:val="00306D0F"/>
    <w:rsid w:val="003072F1"/>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54C8"/>
    <w:rsid w:val="00346306"/>
    <w:rsid w:val="00346649"/>
    <w:rsid w:val="00347041"/>
    <w:rsid w:val="003503D2"/>
    <w:rsid w:val="00351CFA"/>
    <w:rsid w:val="0035304A"/>
    <w:rsid w:val="003533E0"/>
    <w:rsid w:val="00353561"/>
    <w:rsid w:val="00353F60"/>
    <w:rsid w:val="0035423E"/>
    <w:rsid w:val="0035482B"/>
    <w:rsid w:val="0035557C"/>
    <w:rsid w:val="00356CC9"/>
    <w:rsid w:val="0036129E"/>
    <w:rsid w:val="003634ED"/>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510"/>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26B3"/>
    <w:rsid w:val="003E5813"/>
    <w:rsid w:val="003E6394"/>
    <w:rsid w:val="003E69D2"/>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28F"/>
    <w:rsid w:val="004875B9"/>
    <w:rsid w:val="0049563A"/>
    <w:rsid w:val="00495D7F"/>
    <w:rsid w:val="00495FDA"/>
    <w:rsid w:val="0049613E"/>
    <w:rsid w:val="004A3E75"/>
    <w:rsid w:val="004A48BD"/>
    <w:rsid w:val="004A4E96"/>
    <w:rsid w:val="004A508D"/>
    <w:rsid w:val="004A5AC0"/>
    <w:rsid w:val="004A7BFD"/>
    <w:rsid w:val="004B1AA7"/>
    <w:rsid w:val="004B393C"/>
    <w:rsid w:val="004B4890"/>
    <w:rsid w:val="004B52E0"/>
    <w:rsid w:val="004B6ADD"/>
    <w:rsid w:val="004B6D44"/>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7076"/>
    <w:rsid w:val="005010D4"/>
    <w:rsid w:val="005026E1"/>
    <w:rsid w:val="005028B9"/>
    <w:rsid w:val="00505B94"/>
    <w:rsid w:val="00506673"/>
    <w:rsid w:val="005067AD"/>
    <w:rsid w:val="00507DA5"/>
    <w:rsid w:val="00513BC1"/>
    <w:rsid w:val="00513DCB"/>
    <w:rsid w:val="00516102"/>
    <w:rsid w:val="005167A7"/>
    <w:rsid w:val="00517947"/>
    <w:rsid w:val="00517E32"/>
    <w:rsid w:val="005207DA"/>
    <w:rsid w:val="00523AD2"/>
    <w:rsid w:val="005254E0"/>
    <w:rsid w:val="00526840"/>
    <w:rsid w:val="005279D8"/>
    <w:rsid w:val="005306DE"/>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CD0"/>
    <w:rsid w:val="00620997"/>
    <w:rsid w:val="00621663"/>
    <w:rsid w:val="00626822"/>
    <w:rsid w:val="00632736"/>
    <w:rsid w:val="00633DF4"/>
    <w:rsid w:val="0063562E"/>
    <w:rsid w:val="00636107"/>
    <w:rsid w:val="00636B3E"/>
    <w:rsid w:val="00637D18"/>
    <w:rsid w:val="00640146"/>
    <w:rsid w:val="006401DD"/>
    <w:rsid w:val="00640734"/>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3AB"/>
    <w:rsid w:val="007434D0"/>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B7E51"/>
    <w:rsid w:val="007C205B"/>
    <w:rsid w:val="007C25C0"/>
    <w:rsid w:val="007C4A19"/>
    <w:rsid w:val="007C509E"/>
    <w:rsid w:val="007C6768"/>
    <w:rsid w:val="007C6F0D"/>
    <w:rsid w:val="007C7B85"/>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876D9"/>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DF8"/>
    <w:rsid w:val="008C305D"/>
    <w:rsid w:val="008C327D"/>
    <w:rsid w:val="008C4AC2"/>
    <w:rsid w:val="008C6E73"/>
    <w:rsid w:val="008C6F0D"/>
    <w:rsid w:val="008C6F37"/>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2A7"/>
    <w:rsid w:val="008F5328"/>
    <w:rsid w:val="008F5D31"/>
    <w:rsid w:val="008F63AE"/>
    <w:rsid w:val="00905B97"/>
    <w:rsid w:val="00910D37"/>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6EBD"/>
    <w:rsid w:val="0094792B"/>
    <w:rsid w:val="00952799"/>
    <w:rsid w:val="0095298D"/>
    <w:rsid w:val="00954554"/>
    <w:rsid w:val="00955051"/>
    <w:rsid w:val="00960AB9"/>
    <w:rsid w:val="00961D73"/>
    <w:rsid w:val="00962879"/>
    <w:rsid w:val="00962CEF"/>
    <w:rsid w:val="009664AD"/>
    <w:rsid w:val="0096717B"/>
    <w:rsid w:val="00971698"/>
    <w:rsid w:val="00972730"/>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F93"/>
    <w:rsid w:val="009B3118"/>
    <w:rsid w:val="009B45AF"/>
    <w:rsid w:val="009B534A"/>
    <w:rsid w:val="009B5867"/>
    <w:rsid w:val="009B66BE"/>
    <w:rsid w:val="009C0D1A"/>
    <w:rsid w:val="009C0F2C"/>
    <w:rsid w:val="009C1FF5"/>
    <w:rsid w:val="009C4BF3"/>
    <w:rsid w:val="009C5977"/>
    <w:rsid w:val="009C70C3"/>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5F2"/>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31A8"/>
    <w:rsid w:val="00B735F0"/>
    <w:rsid w:val="00B73E24"/>
    <w:rsid w:val="00B74760"/>
    <w:rsid w:val="00B76CEF"/>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398D"/>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E7FEB"/>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665B"/>
    <w:rsid w:val="00D1710C"/>
    <w:rsid w:val="00D17433"/>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4A80"/>
    <w:rsid w:val="00EE4E46"/>
    <w:rsid w:val="00EE4F07"/>
    <w:rsid w:val="00EE5B5C"/>
    <w:rsid w:val="00EE5E33"/>
    <w:rsid w:val="00EE6F50"/>
    <w:rsid w:val="00EF0B47"/>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5E10"/>
    <w:rsid w:val="00F675E6"/>
    <w:rsid w:val="00F72090"/>
    <w:rsid w:val="00F7275F"/>
    <w:rsid w:val="00F7389B"/>
    <w:rsid w:val="00F73F8C"/>
    <w:rsid w:val="00F74FAF"/>
    <w:rsid w:val="00F75AB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B804D95-9BEF-49D7-9991-DA6E26A5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9893-49F0-4DA1-AA90-08A6DC07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4280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Luis Daniel Apodaca Montalvo</cp:lastModifiedBy>
  <cp:revision>2</cp:revision>
  <cp:lastPrinted>2017-05-18T21:54:00Z</cp:lastPrinted>
  <dcterms:created xsi:type="dcterms:W3CDTF">2017-05-18T22:06:00Z</dcterms:created>
  <dcterms:modified xsi:type="dcterms:W3CDTF">2017-05-18T22:06:00Z</dcterms:modified>
</cp:coreProperties>
</file>